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F311" w14:textId="2FD3487A" w:rsidR="00923FC1" w:rsidRPr="00D51584" w:rsidRDefault="0052379A" w:rsidP="00422778">
      <w:pPr>
        <w:jc w:val="right"/>
        <w:rPr>
          <w:rFonts w:ascii="DK Bitumen" w:hAnsi="DK Bitumen"/>
          <w:spacing w:val="20"/>
          <w:sz w:val="36"/>
          <w:szCs w:val="36"/>
        </w:rPr>
      </w:pPr>
      <w:r w:rsidRPr="00D51584">
        <w:rPr>
          <w:rFonts w:ascii="Decima Pro A" w:hAnsi="Decima Pro A"/>
          <w:b/>
          <w:bCs/>
          <w:noProof/>
          <w:spacing w:val="20"/>
        </w:rPr>
        <w:drawing>
          <wp:anchor distT="0" distB="0" distL="114300" distR="114300" simplePos="0" relativeHeight="251658240" behindDoc="1" locked="0" layoutInCell="1" allowOverlap="1" wp14:anchorId="3F2CB2A6" wp14:editId="5F162FE0">
            <wp:simplePos x="0" y="0"/>
            <wp:positionH relativeFrom="page">
              <wp:posOffset>3939540</wp:posOffset>
            </wp:positionH>
            <wp:positionV relativeFrom="page">
              <wp:posOffset>683260</wp:posOffset>
            </wp:positionV>
            <wp:extent cx="2185035" cy="6398260"/>
            <wp:effectExtent l="0" t="0" r="571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extLst>
                        <a:ext uri="{28A0092B-C50C-407E-A947-70E740481C1C}">
                          <a14:useLocalDpi xmlns:a14="http://schemas.microsoft.com/office/drawing/2010/main" val="0"/>
                        </a:ext>
                      </a:extLst>
                    </a:blip>
                    <a:stretch>
                      <a:fillRect/>
                    </a:stretch>
                  </pic:blipFill>
                  <pic:spPr>
                    <a:xfrm>
                      <a:off x="0" y="0"/>
                      <a:ext cx="2185035" cy="6398260"/>
                    </a:xfrm>
                    <a:prstGeom prst="rect">
                      <a:avLst/>
                    </a:prstGeom>
                  </pic:spPr>
                </pic:pic>
              </a:graphicData>
            </a:graphic>
            <wp14:sizeRelH relativeFrom="margin">
              <wp14:pctWidth>0</wp14:pctWidth>
            </wp14:sizeRelH>
            <wp14:sizeRelV relativeFrom="margin">
              <wp14:pctHeight>0</wp14:pctHeight>
            </wp14:sizeRelV>
          </wp:anchor>
        </w:drawing>
      </w:r>
      <w:r w:rsidR="00F8556B" w:rsidRPr="00D51584">
        <w:rPr>
          <w:rFonts w:ascii="DK Bitumen" w:hAnsi="DK Bitumen"/>
          <w:spacing w:val="20"/>
          <w:sz w:val="36"/>
          <w:szCs w:val="36"/>
        </w:rPr>
        <w:t>Origin</w:t>
      </w:r>
    </w:p>
    <w:p w14:paraId="7DD4F6D6" w14:textId="1FAAC787" w:rsidR="00710EE5" w:rsidRPr="004F2B4F" w:rsidRDefault="00691AB1" w:rsidP="00422778">
      <w:pPr>
        <w:jc w:val="right"/>
        <w:rPr>
          <w:rFonts w:ascii="Decima Pro A" w:hAnsi="Decima Pro A"/>
        </w:rPr>
      </w:pPr>
      <w:r>
        <w:rPr>
          <w:rFonts w:ascii="Decima Pro A" w:hAnsi="Decima Pro A"/>
        </w:rPr>
        <w:t xml:space="preserve">Jerez, </w:t>
      </w:r>
      <w:r w:rsidR="00B7657F">
        <w:rPr>
          <w:rFonts w:ascii="Decima Pro A" w:hAnsi="Decima Pro A"/>
        </w:rPr>
        <w:t>Andalucía</w:t>
      </w:r>
      <w:r>
        <w:rPr>
          <w:rFonts w:ascii="Decima Pro A" w:hAnsi="Decima Pro A"/>
        </w:rPr>
        <w:t>, Spain</w:t>
      </w:r>
      <w:r w:rsidR="0096378D">
        <w:rPr>
          <w:rFonts w:ascii="Decima Pro A" w:hAnsi="Decima Pro A"/>
        </w:rPr>
        <w:t>.</w:t>
      </w:r>
    </w:p>
    <w:p w14:paraId="1F3C8549" w14:textId="3E78A6E1" w:rsidR="00710EE5" w:rsidRPr="00D51584" w:rsidRDefault="00710EE5" w:rsidP="00422778">
      <w:pPr>
        <w:jc w:val="right"/>
        <w:rPr>
          <w:rFonts w:ascii="DK Bitumen" w:hAnsi="DK Bitumen"/>
          <w:spacing w:val="20"/>
          <w:sz w:val="36"/>
          <w:szCs w:val="36"/>
        </w:rPr>
      </w:pPr>
      <w:r w:rsidRPr="00D51584">
        <w:rPr>
          <w:rFonts w:ascii="DK Bitumen" w:hAnsi="DK Bitumen"/>
          <w:spacing w:val="20"/>
          <w:sz w:val="36"/>
          <w:szCs w:val="36"/>
        </w:rPr>
        <w:t>Varieties</w:t>
      </w:r>
    </w:p>
    <w:p w14:paraId="0E240E27" w14:textId="25685D62" w:rsidR="00F8556B" w:rsidRPr="004F2B4F" w:rsidRDefault="00AD4C94" w:rsidP="00422778">
      <w:pPr>
        <w:jc w:val="right"/>
        <w:rPr>
          <w:rFonts w:ascii="Decima Pro A" w:hAnsi="Decima Pro A"/>
        </w:rPr>
      </w:pPr>
      <w:r>
        <w:rPr>
          <w:rFonts w:ascii="Decima Pro A" w:hAnsi="Decima Pro A"/>
        </w:rPr>
        <w:t>100</w:t>
      </w:r>
      <w:r w:rsidR="0096378D">
        <w:rPr>
          <w:rFonts w:ascii="Decima Pro A" w:hAnsi="Decima Pro A"/>
        </w:rPr>
        <w:t xml:space="preserve">% </w:t>
      </w:r>
      <w:r w:rsidR="00691AB1">
        <w:rPr>
          <w:rFonts w:ascii="Decima Pro A" w:hAnsi="Decima Pro A"/>
        </w:rPr>
        <w:t xml:space="preserve">Palomino </w:t>
      </w:r>
      <w:proofErr w:type="spellStart"/>
      <w:r w:rsidR="00691AB1">
        <w:rPr>
          <w:rFonts w:ascii="Decima Pro A" w:hAnsi="Decima Pro A"/>
        </w:rPr>
        <w:t>Fino</w:t>
      </w:r>
      <w:proofErr w:type="spellEnd"/>
      <w:r>
        <w:rPr>
          <w:rFonts w:ascii="Decima Pro A" w:hAnsi="Decima Pro A"/>
        </w:rPr>
        <w:t>.</w:t>
      </w:r>
    </w:p>
    <w:p w14:paraId="5D9E5C8C" w14:textId="5976594E" w:rsidR="00C623CD" w:rsidRDefault="0079184B" w:rsidP="00422778">
      <w:pPr>
        <w:jc w:val="right"/>
        <w:rPr>
          <w:rFonts w:ascii="DK Bitumen" w:hAnsi="DK Bitumen"/>
          <w:spacing w:val="20"/>
          <w:sz w:val="36"/>
          <w:szCs w:val="36"/>
        </w:rPr>
      </w:pPr>
      <w:r w:rsidRPr="00D51584">
        <w:rPr>
          <w:rFonts w:ascii="DK Bitumen" w:hAnsi="DK Bitumen"/>
          <w:spacing w:val="20"/>
          <w:sz w:val="36"/>
          <w:szCs w:val="36"/>
        </w:rPr>
        <w:t>V</w:t>
      </w:r>
      <w:r w:rsidR="00E96F13" w:rsidRPr="00D51584">
        <w:rPr>
          <w:rFonts w:ascii="DK Bitumen" w:hAnsi="DK Bitumen"/>
          <w:spacing w:val="20"/>
          <w:sz w:val="36"/>
          <w:szCs w:val="36"/>
        </w:rPr>
        <w:t>ineyard</w:t>
      </w:r>
    </w:p>
    <w:p w14:paraId="2C4CF116" w14:textId="08ABE0A3" w:rsidR="0052379A" w:rsidRPr="0052379A" w:rsidRDefault="0052379A" w:rsidP="0052379A">
      <w:pPr>
        <w:jc w:val="right"/>
        <w:rPr>
          <w:rFonts w:ascii="Decima Pro A" w:hAnsi="Decima Pro A"/>
        </w:rPr>
      </w:pPr>
      <w:r>
        <w:rPr>
          <w:rFonts w:ascii="Decima Pro A" w:hAnsi="Decima Pro A"/>
        </w:rPr>
        <w:t xml:space="preserve">From a parcel in the </w:t>
      </w:r>
      <w:proofErr w:type="spellStart"/>
      <w:r>
        <w:rPr>
          <w:rFonts w:ascii="Decima Pro A" w:hAnsi="Decima Pro A"/>
        </w:rPr>
        <w:t>Balbaina</w:t>
      </w:r>
      <w:proofErr w:type="spellEnd"/>
      <w:r>
        <w:rPr>
          <w:rFonts w:ascii="Decima Pro A" w:hAnsi="Decima Pro A"/>
        </w:rPr>
        <w:t xml:space="preserve"> </w:t>
      </w:r>
      <w:proofErr w:type="spellStart"/>
      <w:r w:rsidRPr="002E7E6C">
        <w:rPr>
          <w:rFonts w:ascii="Decima Pro A" w:hAnsi="Decima Pro A"/>
          <w:i/>
          <w:iCs/>
        </w:rPr>
        <w:t>pago</w:t>
      </w:r>
      <w:proofErr w:type="spellEnd"/>
      <w:r>
        <w:rPr>
          <w:rFonts w:ascii="Decima Pro A" w:hAnsi="Decima Pro A"/>
        </w:rPr>
        <w:t xml:space="preserve"> that was uprooted in 2012 (after the owner’s last harvest). The vines were roughly 45 years </w:t>
      </w:r>
      <w:r w:rsidR="00B7657F">
        <w:rPr>
          <w:rFonts w:ascii="Decima Pro A" w:hAnsi="Decima Pro A"/>
        </w:rPr>
        <w:t>old,</w:t>
      </w:r>
      <w:r>
        <w:rPr>
          <w:rFonts w:ascii="Decima Pro A" w:hAnsi="Decima Pro A"/>
        </w:rPr>
        <w:t xml:space="preserve"> and the soils were Tosca </w:t>
      </w:r>
      <w:proofErr w:type="spellStart"/>
      <w:r>
        <w:rPr>
          <w:rFonts w:ascii="Decima Pro A" w:hAnsi="Decima Pro A"/>
        </w:rPr>
        <w:t>Cerrada</w:t>
      </w:r>
      <w:proofErr w:type="spellEnd"/>
      <w:r>
        <w:rPr>
          <w:rFonts w:ascii="Decima Pro A" w:hAnsi="Decima Pro A"/>
        </w:rPr>
        <w:t xml:space="preserve"> albariza. </w:t>
      </w:r>
      <w:proofErr w:type="spellStart"/>
      <w:r>
        <w:rPr>
          <w:rFonts w:ascii="Decima Pro A" w:hAnsi="Decima Pro A"/>
        </w:rPr>
        <w:t>Balbaina</w:t>
      </w:r>
      <w:proofErr w:type="spellEnd"/>
      <w:r>
        <w:rPr>
          <w:rFonts w:ascii="Decima Pro A" w:hAnsi="Decima Pro A"/>
        </w:rPr>
        <w:t xml:space="preserve"> is the closest of the famous </w:t>
      </w:r>
      <w:proofErr w:type="spellStart"/>
      <w:r>
        <w:rPr>
          <w:rFonts w:ascii="Decima Pro A" w:hAnsi="Decima Pro A"/>
        </w:rPr>
        <w:t>pagos</w:t>
      </w:r>
      <w:proofErr w:type="spellEnd"/>
      <w:r>
        <w:rPr>
          <w:rFonts w:ascii="Decima Pro A" w:hAnsi="Decima Pro A"/>
        </w:rPr>
        <w:t xml:space="preserve"> to the Atlantic, and its wines tend towards delicacy.</w:t>
      </w:r>
    </w:p>
    <w:p w14:paraId="7E94CAFC" w14:textId="4195318F" w:rsidR="00710EE5" w:rsidRPr="00D51584" w:rsidRDefault="0079184B" w:rsidP="00422778">
      <w:pPr>
        <w:jc w:val="right"/>
        <w:rPr>
          <w:rFonts w:ascii="DK Bitumen" w:hAnsi="DK Bitumen"/>
          <w:spacing w:val="20"/>
          <w:sz w:val="36"/>
          <w:szCs w:val="36"/>
        </w:rPr>
      </w:pPr>
      <w:r w:rsidRPr="00D51584">
        <w:rPr>
          <w:rFonts w:ascii="DK Bitumen" w:hAnsi="DK Bitumen"/>
          <w:spacing w:val="20"/>
          <w:sz w:val="36"/>
          <w:szCs w:val="36"/>
        </w:rPr>
        <w:t>Vinification</w:t>
      </w:r>
      <w:r w:rsidR="00B81924">
        <w:rPr>
          <w:rFonts w:ascii="DK Bitumen" w:hAnsi="DK Bitumen"/>
          <w:spacing w:val="20"/>
          <w:sz w:val="36"/>
          <w:szCs w:val="36"/>
        </w:rPr>
        <w:t xml:space="preserve"> Method</w:t>
      </w:r>
    </w:p>
    <w:p w14:paraId="7FE281EE" w14:textId="54080032" w:rsidR="00691AB1" w:rsidRDefault="00691AB1" w:rsidP="00691AB1">
      <w:pPr>
        <w:jc w:val="right"/>
        <w:rPr>
          <w:rFonts w:ascii="Decima Pro A" w:hAnsi="Decima Pro A"/>
        </w:rPr>
      </w:pPr>
      <w:r>
        <w:rPr>
          <w:rFonts w:ascii="Decima Pro A" w:hAnsi="Decima Pro A"/>
        </w:rPr>
        <w:t>From an old solera of 20 botas that was last replenished in 2012, when the former owners carried out their final harvest. Resting and aging biologically since, the alcohol content and concentration has increased, and the average age of the wine is 15-18 years. The 7 most characterful botas were used for this bottling; the remainder will continue to develop into amontillado.</w:t>
      </w:r>
    </w:p>
    <w:p w14:paraId="25501AFC" w14:textId="75ECB223" w:rsidR="0079184B" w:rsidRPr="00D51584" w:rsidRDefault="0079184B" w:rsidP="00C03601">
      <w:pPr>
        <w:jc w:val="right"/>
        <w:rPr>
          <w:rFonts w:ascii="DK Bitumen" w:hAnsi="DK Bitumen"/>
          <w:spacing w:val="20"/>
          <w:sz w:val="36"/>
          <w:szCs w:val="36"/>
        </w:rPr>
      </w:pPr>
      <w:r w:rsidRPr="00D51584">
        <w:rPr>
          <w:rFonts w:ascii="DK Bitumen" w:hAnsi="DK Bitumen"/>
          <w:spacing w:val="20"/>
          <w:sz w:val="36"/>
          <w:szCs w:val="36"/>
        </w:rPr>
        <w:t>Properties</w:t>
      </w:r>
    </w:p>
    <w:p w14:paraId="7D35C7C1" w14:textId="5D2802DC" w:rsidR="00691AB1" w:rsidRPr="003B3C15" w:rsidRDefault="00422778" w:rsidP="0052379A">
      <w:pPr>
        <w:jc w:val="right"/>
        <w:rPr>
          <w:rFonts w:ascii="Decima Pro A" w:hAnsi="Decima Pro A"/>
        </w:rPr>
      </w:pPr>
      <w:r>
        <w:rPr>
          <w:rFonts w:ascii="Decima Pro A" w:hAnsi="Decima Pro A"/>
        </w:rPr>
        <w:t xml:space="preserve">Alcohol: </w:t>
      </w:r>
      <w:r w:rsidR="001812CB">
        <w:rPr>
          <w:rFonts w:ascii="Decima Pro A" w:hAnsi="Decima Pro A"/>
        </w:rPr>
        <w:t>1</w:t>
      </w:r>
      <w:r w:rsidR="00691AB1">
        <w:rPr>
          <w:rFonts w:ascii="Decima Pro A" w:hAnsi="Decima Pro A"/>
        </w:rPr>
        <w:t>5.85</w:t>
      </w:r>
      <w:r w:rsidR="001812CB">
        <w:rPr>
          <w:rFonts w:ascii="Decima Pro A" w:hAnsi="Decima Pro A"/>
        </w:rPr>
        <w:t>%</w:t>
      </w:r>
      <w:r w:rsidR="004B7561">
        <w:rPr>
          <w:rFonts w:ascii="Decima Pro A" w:hAnsi="Decima Pro A"/>
        </w:rPr>
        <w:br/>
      </w:r>
      <w:r>
        <w:rPr>
          <w:rFonts w:ascii="Decima Pro A" w:hAnsi="Decima Pro A"/>
        </w:rPr>
        <w:t xml:space="preserve">Total acidity: </w:t>
      </w:r>
      <w:r w:rsidR="00691AB1">
        <w:rPr>
          <w:rFonts w:ascii="Decima Pro A" w:hAnsi="Decima Pro A"/>
        </w:rPr>
        <w:t>3.9</w:t>
      </w:r>
      <w:r w:rsidR="001812CB">
        <w:rPr>
          <w:rFonts w:ascii="Decima Pro A" w:hAnsi="Decima Pro A"/>
        </w:rPr>
        <w:br/>
        <w:t xml:space="preserve">Bottles Made: </w:t>
      </w:r>
      <w:r w:rsidR="00691AB1">
        <w:rPr>
          <w:rFonts w:ascii="Decima Pro A" w:hAnsi="Decima Pro A"/>
        </w:rPr>
        <w:t>2,500 bottled in May 2019</w:t>
      </w:r>
      <w:r w:rsidR="00710EE5" w:rsidRPr="004F2B4F">
        <w:rPr>
          <w:rFonts w:ascii="Decima Pro A" w:hAnsi="Decima Pro A"/>
        </w:rPr>
        <w:br/>
      </w:r>
    </w:p>
    <w:p w14:paraId="15B443B5" w14:textId="7CB68CFC" w:rsidR="00710EE5" w:rsidRPr="00D51584" w:rsidRDefault="00710EE5" w:rsidP="004F2B4F">
      <w:pPr>
        <w:rPr>
          <w:rFonts w:ascii="DK Bitumen" w:hAnsi="DK Bitumen"/>
          <w:spacing w:val="20"/>
          <w:sz w:val="36"/>
          <w:szCs w:val="36"/>
        </w:rPr>
      </w:pPr>
      <w:r w:rsidRPr="00D51584">
        <w:rPr>
          <w:rFonts w:ascii="DK Bitumen" w:hAnsi="DK Bitumen"/>
          <w:spacing w:val="20"/>
          <w:sz w:val="36"/>
          <w:szCs w:val="36"/>
        </w:rPr>
        <w:t>Producer Profile</w:t>
      </w:r>
    </w:p>
    <w:p w14:paraId="7F6F035A" w14:textId="77777777" w:rsidR="00B7657F" w:rsidRPr="0086632E" w:rsidRDefault="00B7657F" w:rsidP="00B7657F">
      <w:pPr>
        <w:rPr>
          <w:rFonts w:ascii="Decima Pro A" w:hAnsi="Decima Pro A"/>
        </w:rPr>
      </w:pPr>
      <w:bookmarkStart w:id="0" w:name="_Hlk83287663"/>
      <w:r w:rsidRPr="0086632E">
        <w:rPr>
          <w:rFonts w:ascii="Decima Pro A" w:hAnsi="Decima Pro A"/>
        </w:rPr>
        <w:t xml:space="preserve">Renowned winemakers </w:t>
      </w:r>
      <w:r w:rsidRPr="0086632E">
        <w:rPr>
          <w:rFonts w:ascii="Decima Pro A" w:hAnsi="Decima Pro A"/>
          <w:b/>
          <w:bCs/>
        </w:rPr>
        <w:t xml:space="preserve">Willy Pérez &amp; Ramiro </w:t>
      </w:r>
      <w:proofErr w:type="spellStart"/>
      <w:r w:rsidRPr="0086632E">
        <w:rPr>
          <w:rFonts w:ascii="Decima Pro A" w:hAnsi="Decima Pro A"/>
          <w:b/>
          <w:bCs/>
        </w:rPr>
        <w:t>Ibañez</w:t>
      </w:r>
      <w:proofErr w:type="spellEnd"/>
      <w:r w:rsidRPr="0086632E">
        <w:rPr>
          <w:rFonts w:ascii="Decima Pro A" w:hAnsi="Decima Pro A"/>
        </w:rPr>
        <w:t xml:space="preserve"> set out with the goal of connecting old soleras to their vineyards and have done just that with the revival of the </w:t>
      </w:r>
      <w:r w:rsidRPr="004D1A75">
        <w:rPr>
          <w:rFonts w:ascii="Decima Pro A" w:hAnsi="Decima Pro A"/>
          <w:b/>
          <w:bCs/>
        </w:rPr>
        <w:t>M. Antonio de la Riva</w:t>
      </w:r>
      <w:r w:rsidRPr="0086632E">
        <w:rPr>
          <w:rFonts w:ascii="Decima Pro A" w:hAnsi="Decima Pro A"/>
        </w:rPr>
        <w:t xml:space="preserve"> label for their project. In the early 20th century, the historic bodega was well known throughout the region and Bodegas de la Riva held 53 hectares in </w:t>
      </w:r>
      <w:r w:rsidRPr="0086632E">
        <w:rPr>
          <w:rFonts w:ascii="Decima Pro A" w:hAnsi="Decima Pro A"/>
          <w:i/>
          <w:iCs/>
        </w:rPr>
        <w:t xml:space="preserve">Pago </w:t>
      </w:r>
      <w:proofErr w:type="spellStart"/>
      <w:r w:rsidRPr="0086632E">
        <w:rPr>
          <w:rFonts w:ascii="Decima Pro A" w:hAnsi="Decima Pro A"/>
          <w:i/>
          <w:iCs/>
        </w:rPr>
        <w:t>Macharnudo</w:t>
      </w:r>
      <w:proofErr w:type="spellEnd"/>
      <w:r w:rsidRPr="0086632E">
        <w:rPr>
          <w:rFonts w:ascii="Decima Pro A" w:hAnsi="Decima Pro A"/>
        </w:rPr>
        <w:t xml:space="preserve">, one of Jerez’s most famous </w:t>
      </w:r>
      <w:proofErr w:type="spellStart"/>
      <w:r w:rsidRPr="0086632E">
        <w:rPr>
          <w:rFonts w:ascii="Decima Pro A" w:hAnsi="Decima Pro A"/>
          <w:i/>
          <w:iCs/>
        </w:rPr>
        <w:t>pagos</w:t>
      </w:r>
      <w:proofErr w:type="spellEnd"/>
      <w:r w:rsidRPr="0086632E">
        <w:rPr>
          <w:rFonts w:ascii="Decima Pro A" w:hAnsi="Decima Pro A"/>
        </w:rPr>
        <w:t xml:space="preserve">. In the early ‘70s, M.A. de la Riva was sold to Domecq, who slowly dissolved the brand. When Willy and Ramiro were recently able to purchase a few rows in the </w:t>
      </w:r>
      <w:r w:rsidRPr="0086632E">
        <w:rPr>
          <w:rFonts w:ascii="Decima Pro A" w:hAnsi="Decima Pro A"/>
          <w:i/>
          <w:iCs/>
        </w:rPr>
        <w:t xml:space="preserve">Pago </w:t>
      </w:r>
      <w:proofErr w:type="spellStart"/>
      <w:r w:rsidRPr="0086632E">
        <w:rPr>
          <w:rFonts w:ascii="Decima Pro A" w:hAnsi="Decima Pro A"/>
          <w:i/>
          <w:iCs/>
        </w:rPr>
        <w:t>Macharnudo</w:t>
      </w:r>
      <w:proofErr w:type="spellEnd"/>
      <w:r w:rsidRPr="0086632E">
        <w:rPr>
          <w:rFonts w:ascii="Decima Pro A" w:hAnsi="Decima Pro A"/>
        </w:rPr>
        <w:t xml:space="preserve"> they decided to revive the long-admired De La Riva name in honor of its connection to the storied </w:t>
      </w:r>
      <w:proofErr w:type="spellStart"/>
      <w:r w:rsidRPr="0086632E">
        <w:rPr>
          <w:rFonts w:ascii="Decima Pro A" w:hAnsi="Decima Pro A"/>
          <w:i/>
          <w:iCs/>
        </w:rPr>
        <w:t>Macharnudo</w:t>
      </w:r>
      <w:proofErr w:type="spellEnd"/>
      <w:r w:rsidRPr="0086632E">
        <w:rPr>
          <w:rFonts w:ascii="Decima Pro A" w:hAnsi="Decima Pro A"/>
        </w:rPr>
        <w:t xml:space="preserve"> vineyard and in tribute to the traditional wines of its past.  Ramiro and Willy, with inspiration from this ancient estate want to remake the reputation of contemporary sherry, reorienting towards specific vineyards and soil types, rather than cellar procedures or processes – embracing the complexity of Sherry’s past, and reinterpreting its future. With these broad goals, Willy and Ramiro are open to bottling all kinds of traditionally made wines from El Marco de Jerez under the M.A. de la Riva label.</w:t>
      </w:r>
    </w:p>
    <w:bookmarkEnd w:id="0"/>
    <w:p w14:paraId="740DDFC0" w14:textId="494E5537" w:rsidR="00710EE5" w:rsidRPr="004F2B4F" w:rsidRDefault="00710EE5" w:rsidP="000154DC">
      <w:pPr>
        <w:rPr>
          <w:rFonts w:ascii="Decima Pro A" w:hAnsi="Decima Pro A"/>
        </w:rPr>
      </w:pPr>
    </w:p>
    <w:sectPr w:rsidR="00710EE5" w:rsidRPr="004F2B4F" w:rsidSect="009B79CE">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720" w:gutter="0"/>
      <w:cols w:num="2" w:space="43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50CB" w14:textId="77777777" w:rsidR="004F3303" w:rsidRDefault="004F3303" w:rsidP="00923FC1">
      <w:pPr>
        <w:spacing w:after="0" w:line="240" w:lineRule="auto"/>
      </w:pPr>
      <w:r>
        <w:separator/>
      </w:r>
    </w:p>
  </w:endnote>
  <w:endnote w:type="continuationSeparator" w:id="0">
    <w:p w14:paraId="43E5A24D" w14:textId="77777777" w:rsidR="004F3303" w:rsidRDefault="004F3303" w:rsidP="0092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K Bitumen">
    <w:panose1 w:val="00000000000000000000"/>
    <w:charset w:val="00"/>
    <w:family w:val="modern"/>
    <w:notTrueType/>
    <w:pitch w:val="variable"/>
    <w:sig w:usb0="00000007" w:usb1="00000002" w:usb2="00000000" w:usb3="00000000" w:csb0="00000083" w:csb1="00000000"/>
  </w:font>
  <w:font w:name="Decima Pro A">
    <w:panose1 w:val="02000506000000020004"/>
    <w:charset w:val="00"/>
    <w:family w:val="modern"/>
    <w:notTrueType/>
    <w:pitch w:val="variable"/>
    <w:sig w:usb0="A000022F" w:usb1="5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E46C" w14:textId="77777777" w:rsidR="00B60769" w:rsidRDefault="00B60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C926" w14:textId="3D73D10A" w:rsidR="00CC6888" w:rsidRPr="00924352" w:rsidRDefault="000803A6" w:rsidP="00BA39A5">
    <w:pPr>
      <w:pStyle w:val="Footer"/>
      <w:jc w:val="right"/>
      <w:rPr>
        <w:rFonts w:ascii="Decima Pro A" w:hAnsi="Decima Pro A"/>
        <w:color w:val="767171" w:themeColor="background2" w:themeShade="80"/>
        <w:sz w:val="28"/>
        <w:szCs w:val="28"/>
      </w:rPr>
    </w:pPr>
    <w:r w:rsidRPr="00924352">
      <w:rPr>
        <w:rFonts w:ascii="Decima Pro A" w:hAnsi="Decima Pro A"/>
        <w:color w:val="767171" w:themeColor="background2" w:themeShade="80"/>
        <w:sz w:val="28"/>
        <w:szCs w:val="28"/>
      </w:rPr>
      <w:t>josepastorselections.com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C639" w14:textId="77777777" w:rsidR="00B60769" w:rsidRDefault="00B60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9A35" w14:textId="77777777" w:rsidR="004F3303" w:rsidRDefault="004F3303" w:rsidP="00923FC1">
      <w:pPr>
        <w:spacing w:after="0" w:line="240" w:lineRule="auto"/>
      </w:pPr>
      <w:r>
        <w:separator/>
      </w:r>
    </w:p>
  </w:footnote>
  <w:footnote w:type="continuationSeparator" w:id="0">
    <w:p w14:paraId="6B59D10F" w14:textId="77777777" w:rsidR="004F3303" w:rsidRDefault="004F3303" w:rsidP="00923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B781" w14:textId="77777777" w:rsidR="00B60769" w:rsidRDefault="00B60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ED85" w14:textId="488F80DD" w:rsidR="00862DA1" w:rsidRPr="008C67E0" w:rsidRDefault="00862DA1" w:rsidP="00862DA1">
    <w:pPr>
      <w:jc w:val="right"/>
      <w:rPr>
        <w:rFonts w:ascii="Calibri" w:hAnsi="Calibri" w:cs="Calibri"/>
        <w:color w:val="952835"/>
        <w:sz w:val="48"/>
        <w:szCs w:val="48"/>
      </w:rPr>
    </w:pPr>
    <w:r w:rsidRPr="00312E17">
      <w:rPr>
        <w:rFonts w:ascii="DK Bitumen" w:hAnsi="DK Bitumen"/>
        <w:noProof/>
        <w:spacing w:val="10"/>
        <w:sz w:val="48"/>
        <w:szCs w:val="48"/>
      </w:rPr>
      <w:drawing>
        <wp:anchor distT="0" distB="0" distL="114300" distR="114300" simplePos="0" relativeHeight="251658240" behindDoc="0" locked="0" layoutInCell="1" allowOverlap="1" wp14:anchorId="55A0C739" wp14:editId="317017F6">
          <wp:simplePos x="0" y="0"/>
          <wp:positionH relativeFrom="margin">
            <wp:align>left</wp:align>
          </wp:positionH>
          <wp:positionV relativeFrom="margin">
            <wp:posOffset>-1333500</wp:posOffset>
          </wp:positionV>
          <wp:extent cx="3200400" cy="1216152"/>
          <wp:effectExtent l="0" t="0" r="0" b="3175"/>
          <wp:wrapSquare wrapText="bothSides"/>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0400" cy="1216152"/>
                  </a:xfrm>
                  <a:prstGeom prst="rect">
                    <a:avLst/>
                  </a:prstGeom>
                </pic:spPr>
              </pic:pic>
            </a:graphicData>
          </a:graphic>
        </wp:anchor>
      </w:drawing>
    </w:r>
    <w:r w:rsidR="0021146A">
      <w:rPr>
        <w:rFonts w:ascii="DK Bitumen" w:hAnsi="DK Bitumen"/>
        <w:spacing w:val="10"/>
        <w:sz w:val="48"/>
        <w:szCs w:val="48"/>
      </w:rPr>
      <w:t>M. Antonio De la Riva</w:t>
    </w:r>
    <w:r w:rsidRPr="000154DC">
      <w:rPr>
        <w:rFonts w:ascii="DK Bitumen" w:hAnsi="DK Bitumen"/>
        <w:sz w:val="48"/>
        <w:szCs w:val="48"/>
      </w:rPr>
      <w:br/>
    </w:r>
    <w:r w:rsidR="00615842">
      <w:rPr>
        <w:rFonts w:ascii="DK Bitumen" w:hAnsi="DK Bitumen"/>
        <w:color w:val="952835"/>
        <w:sz w:val="40"/>
        <w:szCs w:val="40"/>
      </w:rPr>
      <w:t xml:space="preserve">manzanilla </w:t>
    </w:r>
    <w:proofErr w:type="spellStart"/>
    <w:r w:rsidR="00B60769">
      <w:rPr>
        <w:rFonts w:ascii="DK Bitumen" w:hAnsi="DK Bitumen"/>
        <w:color w:val="952835"/>
        <w:sz w:val="40"/>
        <w:szCs w:val="40"/>
      </w:rPr>
      <w:t>Pasada</w:t>
    </w:r>
    <w:proofErr w:type="spellEnd"/>
    <w:r w:rsidR="00B60769">
      <w:rPr>
        <w:rFonts w:ascii="DK Bitumen" w:hAnsi="DK Bitumen"/>
        <w:color w:val="952835"/>
        <w:sz w:val="40"/>
        <w:szCs w:val="40"/>
      </w:rPr>
      <w:t xml:space="preserve"> </w:t>
    </w:r>
    <w:proofErr w:type="spellStart"/>
    <w:r w:rsidR="00B60769">
      <w:rPr>
        <w:rFonts w:ascii="DK Bitumen" w:hAnsi="DK Bitumen"/>
        <w:color w:val="952835"/>
        <w:sz w:val="40"/>
        <w:szCs w:val="40"/>
      </w:rPr>
      <w:t>balbaina</w:t>
    </w:r>
    <w:proofErr w:type="spellEnd"/>
    <w:r w:rsidR="00B60769">
      <w:rPr>
        <w:rFonts w:ascii="DK Bitumen" w:hAnsi="DK Bitumen"/>
        <w:color w:val="952835"/>
        <w:sz w:val="40"/>
        <w:szCs w:val="40"/>
      </w:rPr>
      <w:t xml:space="preserve"> </w:t>
    </w:r>
    <w:proofErr w:type="spellStart"/>
    <w:r w:rsidR="00B60769">
      <w:rPr>
        <w:rFonts w:ascii="DK Bitumen" w:hAnsi="DK Bitumen"/>
        <w:color w:val="952835"/>
        <w:sz w:val="40"/>
        <w:szCs w:val="40"/>
      </w:rPr>
      <w:t>alta</w:t>
    </w:r>
    <w:proofErr w:type="spellEnd"/>
  </w:p>
  <w:p w14:paraId="773CC5FA" w14:textId="7802C14F" w:rsidR="00862DA1" w:rsidRDefault="00862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5E5D" w14:textId="77777777" w:rsidR="00B60769" w:rsidRDefault="00B60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4B"/>
    <w:rsid w:val="000154DC"/>
    <w:rsid w:val="00025F62"/>
    <w:rsid w:val="00031A2A"/>
    <w:rsid w:val="000803A6"/>
    <w:rsid w:val="000E25BD"/>
    <w:rsid w:val="00161ACC"/>
    <w:rsid w:val="001812CB"/>
    <w:rsid w:val="0021146A"/>
    <w:rsid w:val="002E7E6C"/>
    <w:rsid w:val="00312E17"/>
    <w:rsid w:val="003914D5"/>
    <w:rsid w:val="003B3C15"/>
    <w:rsid w:val="003C6892"/>
    <w:rsid w:val="00422778"/>
    <w:rsid w:val="00491D07"/>
    <w:rsid w:val="004B7561"/>
    <w:rsid w:val="004C1CA5"/>
    <w:rsid w:val="004D1A75"/>
    <w:rsid w:val="004F2B4F"/>
    <w:rsid w:val="004F3303"/>
    <w:rsid w:val="0052379A"/>
    <w:rsid w:val="00615842"/>
    <w:rsid w:val="006840DC"/>
    <w:rsid w:val="00691AB1"/>
    <w:rsid w:val="006B06F0"/>
    <w:rsid w:val="006F472E"/>
    <w:rsid w:val="00710EE5"/>
    <w:rsid w:val="00746966"/>
    <w:rsid w:val="0079184B"/>
    <w:rsid w:val="00857C97"/>
    <w:rsid w:val="00862DA1"/>
    <w:rsid w:val="00872374"/>
    <w:rsid w:val="008A3B10"/>
    <w:rsid w:val="008B70FE"/>
    <w:rsid w:val="008C67E0"/>
    <w:rsid w:val="00923FC1"/>
    <w:rsid w:val="00924352"/>
    <w:rsid w:val="009319EC"/>
    <w:rsid w:val="0096378D"/>
    <w:rsid w:val="009A41BF"/>
    <w:rsid w:val="009B79CE"/>
    <w:rsid w:val="00A14383"/>
    <w:rsid w:val="00AA20F6"/>
    <w:rsid w:val="00AD214A"/>
    <w:rsid w:val="00AD4C94"/>
    <w:rsid w:val="00AD5B0C"/>
    <w:rsid w:val="00B30BCD"/>
    <w:rsid w:val="00B60769"/>
    <w:rsid w:val="00B7657F"/>
    <w:rsid w:val="00B81924"/>
    <w:rsid w:val="00BA39A5"/>
    <w:rsid w:val="00BD58B3"/>
    <w:rsid w:val="00C03601"/>
    <w:rsid w:val="00C6462A"/>
    <w:rsid w:val="00C722B9"/>
    <w:rsid w:val="00CC6888"/>
    <w:rsid w:val="00D11475"/>
    <w:rsid w:val="00D51584"/>
    <w:rsid w:val="00D55C60"/>
    <w:rsid w:val="00D65081"/>
    <w:rsid w:val="00DC4F0B"/>
    <w:rsid w:val="00E71F14"/>
    <w:rsid w:val="00E96F13"/>
    <w:rsid w:val="00ED13BC"/>
    <w:rsid w:val="00F32B61"/>
    <w:rsid w:val="00F8556B"/>
    <w:rsid w:val="00F97E1F"/>
    <w:rsid w:val="00FC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B9816"/>
  <w15:chartTrackingRefBased/>
  <w15:docId w15:val="{162F1816-0287-42AB-A54B-95993D1D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84B"/>
    <w:rPr>
      <w:sz w:val="16"/>
      <w:szCs w:val="16"/>
    </w:rPr>
  </w:style>
  <w:style w:type="paragraph" w:styleId="CommentText">
    <w:name w:val="annotation text"/>
    <w:basedOn w:val="Normal"/>
    <w:link w:val="CommentTextChar"/>
    <w:uiPriority w:val="99"/>
    <w:semiHidden/>
    <w:unhideWhenUsed/>
    <w:rsid w:val="0079184B"/>
    <w:pPr>
      <w:spacing w:line="240" w:lineRule="auto"/>
    </w:pPr>
    <w:rPr>
      <w:sz w:val="20"/>
      <w:szCs w:val="20"/>
    </w:rPr>
  </w:style>
  <w:style w:type="character" w:customStyle="1" w:styleId="CommentTextChar">
    <w:name w:val="Comment Text Char"/>
    <w:basedOn w:val="DefaultParagraphFont"/>
    <w:link w:val="CommentText"/>
    <w:uiPriority w:val="99"/>
    <w:semiHidden/>
    <w:rsid w:val="0079184B"/>
    <w:rPr>
      <w:sz w:val="20"/>
      <w:szCs w:val="20"/>
    </w:rPr>
  </w:style>
  <w:style w:type="paragraph" w:styleId="CommentSubject">
    <w:name w:val="annotation subject"/>
    <w:basedOn w:val="CommentText"/>
    <w:next w:val="CommentText"/>
    <w:link w:val="CommentSubjectChar"/>
    <w:uiPriority w:val="99"/>
    <w:semiHidden/>
    <w:unhideWhenUsed/>
    <w:rsid w:val="0079184B"/>
    <w:rPr>
      <w:b/>
      <w:bCs/>
    </w:rPr>
  </w:style>
  <w:style w:type="character" w:customStyle="1" w:styleId="CommentSubjectChar">
    <w:name w:val="Comment Subject Char"/>
    <w:basedOn w:val="CommentTextChar"/>
    <w:link w:val="CommentSubject"/>
    <w:uiPriority w:val="99"/>
    <w:semiHidden/>
    <w:rsid w:val="0079184B"/>
    <w:rPr>
      <w:b/>
      <w:bCs/>
      <w:sz w:val="20"/>
      <w:szCs w:val="20"/>
    </w:rPr>
  </w:style>
  <w:style w:type="paragraph" w:styleId="Header">
    <w:name w:val="header"/>
    <w:basedOn w:val="Normal"/>
    <w:link w:val="HeaderChar"/>
    <w:uiPriority w:val="99"/>
    <w:unhideWhenUsed/>
    <w:rsid w:val="0092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FC1"/>
  </w:style>
  <w:style w:type="paragraph" w:styleId="Footer">
    <w:name w:val="footer"/>
    <w:basedOn w:val="Normal"/>
    <w:link w:val="FooterChar"/>
    <w:uiPriority w:val="99"/>
    <w:unhideWhenUsed/>
    <w:rsid w:val="0092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E91AE-1E22-4C42-8086-7D13ADBD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Fletcher</dc:creator>
  <cp:keywords/>
  <dc:description/>
  <cp:lastModifiedBy>Benjamin Fletcher</cp:lastModifiedBy>
  <cp:revision>6</cp:revision>
  <cp:lastPrinted>2021-09-23T15:08:00Z</cp:lastPrinted>
  <dcterms:created xsi:type="dcterms:W3CDTF">2021-09-22T19:18:00Z</dcterms:created>
  <dcterms:modified xsi:type="dcterms:W3CDTF">2021-09-23T15:23:00Z</dcterms:modified>
</cp:coreProperties>
</file>